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3AD6" w14:textId="43D7EFFB" w:rsidR="00810B28" w:rsidRPr="0090336F" w:rsidRDefault="00810B28" w:rsidP="00810B28">
      <w:pPr>
        <w:pStyle w:val="Heading2"/>
      </w:pPr>
      <w:r w:rsidRPr="0090336F">
        <w:t>Budgeting for involvement</w:t>
      </w:r>
    </w:p>
    <w:p w14:paraId="1FE5E18A" w14:textId="77777777" w:rsidR="007E268B" w:rsidRPr="007E268B" w:rsidRDefault="007E268B" w:rsidP="007E268B">
      <w:r w:rsidRPr="007E268B">
        <w:t>When planning for involvement, it’s important to realistically reflect all potential costs needed for inclusive, respectful and accessible collaboration. Budgets and resources will naturally vary depending on the scale and scope of the project, and this should be recognised and balanced in your planning. It’s completely fine to start small and grow your approach over time. Your budget will shape how much or how little involvement is possible, how many people can take part, how often, and in what way. Whether your approach is small or large, it should always be intentional and inclusive of people’s diverse needs.</w:t>
      </w:r>
    </w:p>
    <w:p w14:paraId="74F10FB8" w14:textId="295C46C3" w:rsidR="00810B28" w:rsidRDefault="00D82131" w:rsidP="00810B28">
      <w:r>
        <w:t xml:space="preserve">Here are some </w:t>
      </w:r>
      <w:r w:rsidR="00192D47">
        <w:t>things</w:t>
      </w:r>
      <w:r>
        <w:t xml:space="preserve"> to think about: </w:t>
      </w:r>
    </w:p>
    <w:p w14:paraId="75B19960" w14:textId="77777777" w:rsidR="00810B28" w:rsidRDefault="00810B28" w:rsidP="00810B28"/>
    <w:tbl>
      <w:tblPr>
        <w:tblStyle w:val="TableGrid"/>
        <w:tblW w:w="0" w:type="auto"/>
        <w:tblLook w:val="04A0" w:firstRow="1" w:lastRow="0" w:firstColumn="1" w:lastColumn="0" w:noHBand="0" w:noVBand="1"/>
      </w:tblPr>
      <w:tblGrid>
        <w:gridCol w:w="2405"/>
        <w:gridCol w:w="3402"/>
        <w:gridCol w:w="3209"/>
      </w:tblGrid>
      <w:tr w:rsidR="00810B28" w14:paraId="06BC5AF5" w14:textId="77777777" w:rsidTr="00810B28">
        <w:tc>
          <w:tcPr>
            <w:tcW w:w="2405" w:type="dxa"/>
            <w:vAlign w:val="center"/>
          </w:tcPr>
          <w:p w14:paraId="5EF502BF" w14:textId="77777777" w:rsidR="00810B28" w:rsidRDefault="00810B28" w:rsidP="00BB40B3">
            <w:r w:rsidRPr="00D52406">
              <w:rPr>
                <w:b/>
                <w:bCs/>
              </w:rPr>
              <w:t xml:space="preserve">Budget </w:t>
            </w:r>
            <w:r>
              <w:rPr>
                <w:b/>
                <w:bCs/>
              </w:rPr>
              <w:t>a</w:t>
            </w:r>
            <w:r w:rsidRPr="00D52406">
              <w:rPr>
                <w:b/>
                <w:bCs/>
              </w:rPr>
              <w:t>rea</w:t>
            </w:r>
          </w:p>
        </w:tc>
        <w:tc>
          <w:tcPr>
            <w:tcW w:w="3402" w:type="dxa"/>
            <w:vAlign w:val="center"/>
          </w:tcPr>
          <w:p w14:paraId="787751CB" w14:textId="77777777" w:rsidR="00810B28" w:rsidRDefault="00810B28" w:rsidP="00BB40B3">
            <w:r>
              <w:rPr>
                <w:b/>
                <w:bCs/>
              </w:rPr>
              <w:t>T</w:t>
            </w:r>
            <w:r w:rsidRPr="00D52406">
              <w:rPr>
                <w:b/>
                <w:bCs/>
              </w:rPr>
              <w:t xml:space="preserve">o </w:t>
            </w:r>
            <w:r>
              <w:rPr>
                <w:b/>
                <w:bCs/>
              </w:rPr>
              <w:t>c</w:t>
            </w:r>
            <w:r w:rsidRPr="00D52406">
              <w:rPr>
                <w:b/>
                <w:bCs/>
              </w:rPr>
              <w:t>onsider</w:t>
            </w:r>
          </w:p>
        </w:tc>
        <w:tc>
          <w:tcPr>
            <w:tcW w:w="3209" w:type="dxa"/>
            <w:vAlign w:val="center"/>
          </w:tcPr>
          <w:p w14:paraId="1489D4FB" w14:textId="77777777" w:rsidR="00810B28" w:rsidRDefault="00810B28" w:rsidP="00BB40B3">
            <w:r w:rsidRPr="00D52406">
              <w:rPr>
                <w:b/>
                <w:bCs/>
              </w:rPr>
              <w:t xml:space="preserve">Why </w:t>
            </w:r>
            <w:r>
              <w:rPr>
                <w:b/>
                <w:bCs/>
              </w:rPr>
              <w:t>i</w:t>
            </w:r>
            <w:r w:rsidRPr="00D52406">
              <w:rPr>
                <w:b/>
                <w:bCs/>
              </w:rPr>
              <w:t xml:space="preserve">t </w:t>
            </w:r>
            <w:r>
              <w:rPr>
                <w:b/>
                <w:bCs/>
              </w:rPr>
              <w:t>m</w:t>
            </w:r>
            <w:r w:rsidRPr="00D52406">
              <w:rPr>
                <w:b/>
                <w:bCs/>
              </w:rPr>
              <w:t>atters</w:t>
            </w:r>
          </w:p>
        </w:tc>
      </w:tr>
      <w:tr w:rsidR="00810B28" w14:paraId="548C2DAB" w14:textId="77777777" w:rsidTr="00810B28">
        <w:tc>
          <w:tcPr>
            <w:tcW w:w="2405" w:type="dxa"/>
            <w:vAlign w:val="center"/>
          </w:tcPr>
          <w:p w14:paraId="02FA1E35" w14:textId="77777777" w:rsidR="00810B28" w:rsidRPr="00D52406" w:rsidRDefault="00810B28" w:rsidP="00BB40B3">
            <w:pPr>
              <w:rPr>
                <w:b/>
                <w:bCs/>
              </w:rPr>
            </w:pPr>
            <w:r w:rsidRPr="00D52406">
              <w:rPr>
                <w:b/>
                <w:bCs/>
              </w:rPr>
              <w:t xml:space="preserve">Time &amp; </w:t>
            </w:r>
            <w:r>
              <w:rPr>
                <w:b/>
                <w:bCs/>
              </w:rPr>
              <w:t>c</w:t>
            </w:r>
            <w:r w:rsidRPr="00D52406">
              <w:rPr>
                <w:b/>
                <w:bCs/>
              </w:rPr>
              <w:t>ontribution</w:t>
            </w:r>
          </w:p>
        </w:tc>
        <w:tc>
          <w:tcPr>
            <w:tcW w:w="3402" w:type="dxa"/>
            <w:vAlign w:val="center"/>
          </w:tcPr>
          <w:p w14:paraId="046BDFFB" w14:textId="77777777" w:rsidR="00C80771" w:rsidRDefault="00C80771" w:rsidP="00BB40B3"/>
          <w:p w14:paraId="5B432F02" w14:textId="77777777" w:rsidR="00810B28" w:rsidRDefault="00810B28" w:rsidP="00BB40B3">
            <w:r>
              <w:t>I</w:t>
            </w:r>
            <w:r w:rsidRPr="00D52406">
              <w:t xml:space="preserve">nvolvement payments for meetings, </w:t>
            </w:r>
            <w:r>
              <w:t>preparation</w:t>
            </w:r>
            <w:r w:rsidRPr="00D52406">
              <w:t xml:space="preserve"> time and</w:t>
            </w:r>
            <w:r>
              <w:t xml:space="preserve"> other activities</w:t>
            </w:r>
          </w:p>
          <w:p w14:paraId="50658961" w14:textId="397C40DA" w:rsidR="00C80771" w:rsidRPr="00D52406" w:rsidRDefault="00C80771" w:rsidP="00BB40B3">
            <w:pPr>
              <w:rPr>
                <w:b/>
                <w:bCs/>
              </w:rPr>
            </w:pPr>
          </w:p>
        </w:tc>
        <w:tc>
          <w:tcPr>
            <w:tcW w:w="3209" w:type="dxa"/>
            <w:vAlign w:val="center"/>
          </w:tcPr>
          <w:p w14:paraId="62543BEF" w14:textId="77777777" w:rsidR="00810B28" w:rsidRPr="00D52406" w:rsidRDefault="00810B28" w:rsidP="00BB40B3">
            <w:pPr>
              <w:rPr>
                <w:b/>
                <w:bCs/>
              </w:rPr>
            </w:pPr>
            <w:r w:rsidRPr="00D52406">
              <w:t>Recognises lived experience as valuable expertise</w:t>
            </w:r>
          </w:p>
        </w:tc>
      </w:tr>
      <w:tr w:rsidR="00810B28" w14:paraId="69094802" w14:textId="77777777" w:rsidTr="00810B28">
        <w:tc>
          <w:tcPr>
            <w:tcW w:w="2405" w:type="dxa"/>
            <w:vAlign w:val="center"/>
          </w:tcPr>
          <w:p w14:paraId="20C0DDE7" w14:textId="77777777" w:rsidR="00810B28" w:rsidRPr="00D52406" w:rsidRDefault="00810B28" w:rsidP="00BB40B3">
            <w:pPr>
              <w:rPr>
                <w:b/>
                <w:bCs/>
              </w:rPr>
            </w:pPr>
            <w:r w:rsidRPr="00D52406">
              <w:rPr>
                <w:b/>
                <w:bCs/>
              </w:rPr>
              <w:t xml:space="preserve">Preparation </w:t>
            </w:r>
            <w:r>
              <w:rPr>
                <w:b/>
                <w:bCs/>
              </w:rPr>
              <w:t>t</w:t>
            </w:r>
            <w:r w:rsidRPr="00D52406">
              <w:rPr>
                <w:b/>
                <w:bCs/>
              </w:rPr>
              <w:t xml:space="preserve">ime for </w:t>
            </w:r>
            <w:r>
              <w:rPr>
                <w:b/>
                <w:bCs/>
              </w:rPr>
              <w:t>i</w:t>
            </w:r>
            <w:r w:rsidRPr="00D52406">
              <w:rPr>
                <w:b/>
                <w:bCs/>
              </w:rPr>
              <w:t>nvolvement</w:t>
            </w:r>
          </w:p>
        </w:tc>
        <w:tc>
          <w:tcPr>
            <w:tcW w:w="3402" w:type="dxa"/>
            <w:vAlign w:val="center"/>
          </w:tcPr>
          <w:p w14:paraId="48FDBD63" w14:textId="77777777" w:rsidR="00C80771" w:rsidRDefault="00C80771" w:rsidP="00BB40B3"/>
          <w:p w14:paraId="367030CB" w14:textId="090CBEBB" w:rsidR="00810B28" w:rsidRDefault="00810B28" w:rsidP="00BB40B3">
            <w:r w:rsidRPr="00D52406">
              <w:t xml:space="preserve">Planning, adapting materials, and allowing for longer </w:t>
            </w:r>
            <w:r>
              <w:t>meeting</w:t>
            </w:r>
            <w:r w:rsidRPr="00D52406">
              <w:t xml:space="preserve"> windows</w:t>
            </w:r>
          </w:p>
          <w:p w14:paraId="220DA629" w14:textId="77777777" w:rsidR="00C80771" w:rsidRPr="00D52406" w:rsidRDefault="00C80771" w:rsidP="00BB40B3"/>
        </w:tc>
        <w:tc>
          <w:tcPr>
            <w:tcW w:w="3209" w:type="dxa"/>
            <w:vAlign w:val="center"/>
          </w:tcPr>
          <w:p w14:paraId="00AC3210" w14:textId="77777777" w:rsidR="00810B28" w:rsidRPr="00D52406" w:rsidRDefault="00810B28" w:rsidP="00BB40B3">
            <w:r w:rsidRPr="00D52406">
              <w:t>Reflects the time it takes</w:t>
            </w:r>
            <w:r>
              <w:t xml:space="preserve"> you and your partners</w:t>
            </w:r>
            <w:r w:rsidRPr="00D52406">
              <w:t xml:space="preserve"> to do inclusive involvement well</w:t>
            </w:r>
          </w:p>
        </w:tc>
      </w:tr>
      <w:tr w:rsidR="00810B28" w14:paraId="22E14DA2" w14:textId="77777777" w:rsidTr="00810B28">
        <w:tc>
          <w:tcPr>
            <w:tcW w:w="2405" w:type="dxa"/>
            <w:vAlign w:val="center"/>
          </w:tcPr>
          <w:p w14:paraId="241C5769" w14:textId="77777777" w:rsidR="00810B28" w:rsidRPr="00D52406" w:rsidRDefault="00810B28" w:rsidP="00BB40B3">
            <w:pPr>
              <w:rPr>
                <w:b/>
                <w:bCs/>
              </w:rPr>
            </w:pPr>
            <w:r w:rsidRPr="00D52406">
              <w:rPr>
                <w:b/>
                <w:bCs/>
              </w:rPr>
              <w:t xml:space="preserve">Travel &amp; </w:t>
            </w:r>
            <w:r>
              <w:rPr>
                <w:b/>
                <w:bCs/>
              </w:rPr>
              <w:t>t</w:t>
            </w:r>
            <w:r w:rsidRPr="00D52406">
              <w:rPr>
                <w:b/>
                <w:bCs/>
              </w:rPr>
              <w:t>ransport</w:t>
            </w:r>
          </w:p>
        </w:tc>
        <w:tc>
          <w:tcPr>
            <w:tcW w:w="3402" w:type="dxa"/>
            <w:vAlign w:val="center"/>
          </w:tcPr>
          <w:p w14:paraId="364A3045" w14:textId="77777777" w:rsidR="00C80771" w:rsidRDefault="00C80771" w:rsidP="00BB40B3"/>
          <w:p w14:paraId="162A1B76" w14:textId="77777777" w:rsidR="00810B28" w:rsidRDefault="00810B28" w:rsidP="00BB40B3">
            <w:r w:rsidRPr="00D52406">
              <w:t>Costs for taxis, mileage, or accessible public transport</w:t>
            </w:r>
          </w:p>
          <w:p w14:paraId="6E521E8C" w14:textId="4957544F" w:rsidR="00C80771" w:rsidRPr="00D52406" w:rsidRDefault="00C80771" w:rsidP="00BB40B3"/>
        </w:tc>
        <w:tc>
          <w:tcPr>
            <w:tcW w:w="3209" w:type="dxa"/>
            <w:vAlign w:val="center"/>
          </w:tcPr>
          <w:p w14:paraId="5F6AE508" w14:textId="77777777" w:rsidR="00810B28" w:rsidRPr="00D52406" w:rsidRDefault="00810B28" w:rsidP="00BB40B3">
            <w:r w:rsidRPr="00D52406">
              <w:t xml:space="preserve">Reduces barriers to </w:t>
            </w:r>
            <w:r>
              <w:t xml:space="preserve">involvement </w:t>
            </w:r>
          </w:p>
        </w:tc>
      </w:tr>
      <w:tr w:rsidR="00810B28" w14:paraId="36A1EADC" w14:textId="77777777" w:rsidTr="00810B28">
        <w:tc>
          <w:tcPr>
            <w:tcW w:w="2405" w:type="dxa"/>
            <w:vAlign w:val="center"/>
          </w:tcPr>
          <w:p w14:paraId="386BFEA4" w14:textId="77777777" w:rsidR="00810B28" w:rsidRPr="001B0413" w:rsidRDefault="00810B28" w:rsidP="00BB40B3">
            <w:pPr>
              <w:rPr>
                <w:b/>
                <w:bCs/>
              </w:rPr>
            </w:pPr>
            <w:r w:rsidRPr="00D52406">
              <w:rPr>
                <w:b/>
                <w:bCs/>
              </w:rPr>
              <w:t>Support</w:t>
            </w:r>
          </w:p>
        </w:tc>
        <w:tc>
          <w:tcPr>
            <w:tcW w:w="3402" w:type="dxa"/>
            <w:vAlign w:val="center"/>
          </w:tcPr>
          <w:p w14:paraId="1A7CC555" w14:textId="77777777" w:rsidR="00C80771" w:rsidRDefault="00C80771" w:rsidP="00BB40B3"/>
          <w:p w14:paraId="5CBF921C" w14:textId="77777777" w:rsidR="00810B28" w:rsidRDefault="00810B28" w:rsidP="00BB40B3">
            <w:r w:rsidRPr="00D52406">
              <w:t>Involvement of supporters/carers, emotional support or buddy systems</w:t>
            </w:r>
          </w:p>
          <w:p w14:paraId="2214BBA9" w14:textId="3FAB0B18" w:rsidR="00C80771" w:rsidRPr="00D52406" w:rsidRDefault="00C80771" w:rsidP="00BB40B3"/>
        </w:tc>
        <w:tc>
          <w:tcPr>
            <w:tcW w:w="3209" w:type="dxa"/>
            <w:vAlign w:val="center"/>
          </w:tcPr>
          <w:p w14:paraId="10701352" w14:textId="77777777" w:rsidR="00810B28" w:rsidRPr="00D52406" w:rsidRDefault="00810B28" w:rsidP="00BB40B3">
            <w:r w:rsidRPr="00D52406">
              <w:t xml:space="preserve">Enables </w:t>
            </w:r>
            <w:r>
              <w:t>involvement</w:t>
            </w:r>
            <w:r w:rsidRPr="00D52406">
              <w:t xml:space="preserve"> with confidence and dignity</w:t>
            </w:r>
          </w:p>
        </w:tc>
      </w:tr>
      <w:tr w:rsidR="00810B28" w14:paraId="2F23EE8F" w14:textId="77777777" w:rsidTr="00810B28">
        <w:tc>
          <w:tcPr>
            <w:tcW w:w="2405" w:type="dxa"/>
            <w:vAlign w:val="center"/>
          </w:tcPr>
          <w:p w14:paraId="7CBBCAFE" w14:textId="77777777" w:rsidR="00810B28" w:rsidRPr="001B0413" w:rsidRDefault="00810B28" w:rsidP="00BB40B3">
            <w:pPr>
              <w:rPr>
                <w:b/>
                <w:bCs/>
              </w:rPr>
            </w:pPr>
            <w:r w:rsidRPr="001B0413">
              <w:rPr>
                <w:b/>
                <w:bCs/>
              </w:rPr>
              <w:t>Training</w:t>
            </w:r>
          </w:p>
        </w:tc>
        <w:tc>
          <w:tcPr>
            <w:tcW w:w="3402" w:type="dxa"/>
            <w:vAlign w:val="center"/>
          </w:tcPr>
          <w:p w14:paraId="270964F6" w14:textId="77777777" w:rsidR="00C80771" w:rsidRDefault="00C80771" w:rsidP="00BB40B3"/>
          <w:p w14:paraId="0D70AE37" w14:textId="77777777" w:rsidR="00810B28" w:rsidRDefault="00810B28" w:rsidP="00BB40B3">
            <w:r w:rsidRPr="001B0413">
              <w:t>Introductory or ongoing training for both researchers and public co</w:t>
            </w:r>
            <w:r w:rsidR="002B3CF6">
              <w:t>llaborators</w:t>
            </w:r>
          </w:p>
          <w:p w14:paraId="4B6760A4" w14:textId="3C5514BD" w:rsidR="00C80771" w:rsidRPr="00D52406" w:rsidRDefault="00C80771" w:rsidP="00BB40B3"/>
        </w:tc>
        <w:tc>
          <w:tcPr>
            <w:tcW w:w="3209" w:type="dxa"/>
            <w:vAlign w:val="center"/>
          </w:tcPr>
          <w:p w14:paraId="57F362D8" w14:textId="77777777" w:rsidR="00810B28" w:rsidRPr="00D52406" w:rsidRDefault="00810B28" w:rsidP="00BB40B3">
            <w:r w:rsidRPr="001B0413">
              <w:t>Builds confidence, clarity, and shared understanding</w:t>
            </w:r>
          </w:p>
        </w:tc>
      </w:tr>
      <w:tr w:rsidR="00810B28" w14:paraId="226DF44F" w14:textId="77777777" w:rsidTr="00810B28">
        <w:tc>
          <w:tcPr>
            <w:tcW w:w="2405" w:type="dxa"/>
            <w:vAlign w:val="center"/>
          </w:tcPr>
          <w:p w14:paraId="1083A19E" w14:textId="77777777" w:rsidR="00810B28" w:rsidRPr="00D52406" w:rsidRDefault="00810B28" w:rsidP="00BB40B3">
            <w:pPr>
              <w:rPr>
                <w:b/>
                <w:bCs/>
              </w:rPr>
            </w:pPr>
            <w:r w:rsidRPr="00D52406">
              <w:rPr>
                <w:b/>
                <w:bCs/>
              </w:rPr>
              <w:t xml:space="preserve">Communication </w:t>
            </w:r>
            <w:r>
              <w:rPr>
                <w:b/>
                <w:bCs/>
              </w:rPr>
              <w:t>f</w:t>
            </w:r>
            <w:r w:rsidRPr="00D52406">
              <w:rPr>
                <w:b/>
                <w:bCs/>
              </w:rPr>
              <w:t>ormats</w:t>
            </w:r>
          </w:p>
        </w:tc>
        <w:tc>
          <w:tcPr>
            <w:tcW w:w="3402" w:type="dxa"/>
            <w:vAlign w:val="center"/>
          </w:tcPr>
          <w:p w14:paraId="1E8B1860" w14:textId="77777777" w:rsidR="00C80771" w:rsidRDefault="00C80771" w:rsidP="00BB40B3"/>
          <w:p w14:paraId="0F2B6CF6" w14:textId="77777777" w:rsidR="00810B28" w:rsidRDefault="00810B28" w:rsidP="00BB40B3">
            <w:r w:rsidRPr="00C55794">
              <w:t>Large print, Easy Read, audio/visual materials, interpreters, translation services</w:t>
            </w:r>
            <w:r w:rsidRPr="00C55794">
              <w:tab/>
            </w:r>
          </w:p>
          <w:p w14:paraId="24DBF0AF" w14:textId="36D82EE0" w:rsidR="00C80771" w:rsidRPr="00D52406" w:rsidRDefault="00C80771" w:rsidP="00BB40B3"/>
        </w:tc>
        <w:tc>
          <w:tcPr>
            <w:tcW w:w="3209" w:type="dxa"/>
            <w:vAlign w:val="center"/>
          </w:tcPr>
          <w:p w14:paraId="24AD2B97" w14:textId="0FFFE1C0" w:rsidR="00810B28" w:rsidRPr="00D52406" w:rsidRDefault="00810B28" w:rsidP="00BB40B3">
            <w:r w:rsidRPr="00C55794">
              <w:t>Supports understanding, language access and cognitive inclusion</w:t>
            </w:r>
          </w:p>
        </w:tc>
      </w:tr>
      <w:tr w:rsidR="00810B28" w14:paraId="5C4FD9A1" w14:textId="77777777" w:rsidTr="00810B28">
        <w:tc>
          <w:tcPr>
            <w:tcW w:w="2405" w:type="dxa"/>
            <w:vAlign w:val="center"/>
          </w:tcPr>
          <w:p w14:paraId="6F4233DE" w14:textId="77777777" w:rsidR="00810B28" w:rsidRPr="00D52406" w:rsidRDefault="00810B28" w:rsidP="00BB40B3">
            <w:pPr>
              <w:rPr>
                <w:b/>
                <w:bCs/>
              </w:rPr>
            </w:pPr>
            <w:r w:rsidRPr="00D52406">
              <w:rPr>
                <w:b/>
                <w:bCs/>
              </w:rPr>
              <w:lastRenderedPageBreak/>
              <w:t xml:space="preserve">Catering &amp; </w:t>
            </w:r>
            <w:r>
              <w:rPr>
                <w:b/>
                <w:bCs/>
              </w:rPr>
              <w:t>r</w:t>
            </w:r>
            <w:r w:rsidRPr="00D52406">
              <w:rPr>
                <w:b/>
                <w:bCs/>
              </w:rPr>
              <w:t>efreshments</w:t>
            </w:r>
          </w:p>
        </w:tc>
        <w:tc>
          <w:tcPr>
            <w:tcW w:w="3402" w:type="dxa"/>
            <w:vAlign w:val="center"/>
          </w:tcPr>
          <w:p w14:paraId="7BCD41F6" w14:textId="77777777" w:rsidR="00C80771" w:rsidRDefault="00C80771" w:rsidP="00BB40B3"/>
          <w:p w14:paraId="1BE02B12" w14:textId="77777777" w:rsidR="00810B28" w:rsidRDefault="00810B28" w:rsidP="00BB40B3">
            <w:r w:rsidRPr="00D52406">
              <w:t>Light food and drink for in-person sessions</w:t>
            </w:r>
          </w:p>
          <w:p w14:paraId="59CCBC31" w14:textId="6684480F" w:rsidR="00C80771" w:rsidRPr="00D52406" w:rsidRDefault="00C80771" w:rsidP="00BB40B3"/>
        </w:tc>
        <w:tc>
          <w:tcPr>
            <w:tcW w:w="3209" w:type="dxa"/>
            <w:vAlign w:val="center"/>
          </w:tcPr>
          <w:p w14:paraId="1E5C770C" w14:textId="77777777" w:rsidR="00810B28" w:rsidRPr="00D52406" w:rsidRDefault="00810B28" w:rsidP="00BB40B3">
            <w:r w:rsidRPr="00D52406">
              <w:t>Supports wellbeing and creates a welcoming atmosphere</w:t>
            </w:r>
          </w:p>
        </w:tc>
      </w:tr>
      <w:tr w:rsidR="00810B28" w14:paraId="0B91B612" w14:textId="77777777" w:rsidTr="00810B28">
        <w:tc>
          <w:tcPr>
            <w:tcW w:w="2405" w:type="dxa"/>
            <w:vAlign w:val="center"/>
          </w:tcPr>
          <w:p w14:paraId="7E5CE042" w14:textId="77777777" w:rsidR="00810B28" w:rsidRPr="00D52406" w:rsidRDefault="00810B28" w:rsidP="00BB40B3">
            <w:pPr>
              <w:rPr>
                <w:b/>
                <w:bCs/>
              </w:rPr>
            </w:pPr>
            <w:r w:rsidRPr="00D52406">
              <w:rPr>
                <w:b/>
                <w:bCs/>
              </w:rPr>
              <w:t xml:space="preserve">Access </w:t>
            </w:r>
            <w:r>
              <w:rPr>
                <w:b/>
                <w:bCs/>
              </w:rPr>
              <w:t>a</w:t>
            </w:r>
            <w:r w:rsidRPr="00D52406">
              <w:rPr>
                <w:b/>
                <w:bCs/>
              </w:rPr>
              <w:t>djustments</w:t>
            </w:r>
          </w:p>
        </w:tc>
        <w:tc>
          <w:tcPr>
            <w:tcW w:w="3402" w:type="dxa"/>
            <w:vAlign w:val="center"/>
          </w:tcPr>
          <w:p w14:paraId="30595E53" w14:textId="77777777" w:rsidR="00C80771" w:rsidRDefault="00C80771" w:rsidP="00BB40B3"/>
          <w:p w14:paraId="47522E23" w14:textId="77777777" w:rsidR="00810B28" w:rsidRDefault="00810B28" w:rsidP="00BB40B3">
            <w:r w:rsidRPr="00D52406">
              <w:t xml:space="preserve">Room layout, lighting, </w:t>
            </w:r>
            <w:r>
              <w:t>additional</w:t>
            </w:r>
            <w:r w:rsidRPr="00D52406">
              <w:t xml:space="preserve"> quiet spaces or rest breaks</w:t>
            </w:r>
          </w:p>
          <w:p w14:paraId="4C143DF6" w14:textId="6F8468DF" w:rsidR="00C80771" w:rsidRPr="00D52406" w:rsidRDefault="00C80771" w:rsidP="00BB40B3"/>
        </w:tc>
        <w:tc>
          <w:tcPr>
            <w:tcW w:w="3209" w:type="dxa"/>
            <w:vAlign w:val="center"/>
          </w:tcPr>
          <w:p w14:paraId="3F99D51E" w14:textId="77777777" w:rsidR="00810B28" w:rsidRPr="00D52406" w:rsidRDefault="00810B28" w:rsidP="00BB40B3">
            <w:r w:rsidRPr="00D52406">
              <w:t>Makes the environment more comfortable and dementia</w:t>
            </w:r>
            <w:r>
              <w:t xml:space="preserve"> </w:t>
            </w:r>
            <w:r w:rsidRPr="00D52406">
              <w:t>inclusive</w:t>
            </w:r>
          </w:p>
        </w:tc>
      </w:tr>
      <w:tr w:rsidR="00810B28" w14:paraId="3D5EC3EB" w14:textId="77777777" w:rsidTr="00810B28">
        <w:tc>
          <w:tcPr>
            <w:tcW w:w="2405" w:type="dxa"/>
            <w:vAlign w:val="center"/>
          </w:tcPr>
          <w:p w14:paraId="70027FAB" w14:textId="77777777" w:rsidR="00810B28" w:rsidRPr="00D52406" w:rsidRDefault="00810B28" w:rsidP="00BB40B3">
            <w:pPr>
              <w:rPr>
                <w:b/>
                <w:bCs/>
              </w:rPr>
            </w:pPr>
            <w:r w:rsidRPr="00D52406">
              <w:rPr>
                <w:b/>
                <w:bCs/>
              </w:rPr>
              <w:t xml:space="preserve">Digital </w:t>
            </w:r>
            <w:r>
              <w:rPr>
                <w:b/>
                <w:bCs/>
              </w:rPr>
              <w:t>a</w:t>
            </w:r>
            <w:r w:rsidRPr="00D52406">
              <w:rPr>
                <w:b/>
                <w:bCs/>
              </w:rPr>
              <w:t>ccess</w:t>
            </w:r>
          </w:p>
        </w:tc>
        <w:tc>
          <w:tcPr>
            <w:tcW w:w="3402" w:type="dxa"/>
            <w:vAlign w:val="center"/>
          </w:tcPr>
          <w:p w14:paraId="1EA4050B" w14:textId="77777777" w:rsidR="00C80771" w:rsidRDefault="00C80771" w:rsidP="00BB40B3"/>
          <w:p w14:paraId="74E6F464" w14:textId="77777777" w:rsidR="00810B28" w:rsidRDefault="00810B28" w:rsidP="00BB40B3">
            <w:r w:rsidRPr="0033391D">
              <w:t>Loan of tablets, data bundles, or technical support for online sessions</w:t>
            </w:r>
          </w:p>
          <w:p w14:paraId="2AE8A6A1" w14:textId="36C0D479" w:rsidR="00C80771" w:rsidRPr="00D52406" w:rsidRDefault="00C80771" w:rsidP="00BB40B3"/>
        </w:tc>
        <w:tc>
          <w:tcPr>
            <w:tcW w:w="3209" w:type="dxa"/>
            <w:vAlign w:val="center"/>
          </w:tcPr>
          <w:p w14:paraId="3A4D2A5B" w14:textId="77777777" w:rsidR="00810B28" w:rsidRPr="00D52406" w:rsidRDefault="00810B28" w:rsidP="00BB40B3">
            <w:r w:rsidRPr="00D52406">
              <w:t>Avoids digital exclusion for remote or hybrid involvement</w:t>
            </w:r>
          </w:p>
        </w:tc>
      </w:tr>
      <w:tr w:rsidR="00810B28" w14:paraId="75551031" w14:textId="77777777" w:rsidTr="00810B28">
        <w:tc>
          <w:tcPr>
            <w:tcW w:w="2405" w:type="dxa"/>
            <w:vAlign w:val="center"/>
          </w:tcPr>
          <w:p w14:paraId="778EE68F" w14:textId="77777777" w:rsidR="00810B28" w:rsidRPr="00D52406" w:rsidRDefault="00810B28" w:rsidP="00BB40B3">
            <w:pPr>
              <w:rPr>
                <w:b/>
                <w:bCs/>
              </w:rPr>
            </w:pPr>
            <w:r w:rsidRPr="00D52406">
              <w:rPr>
                <w:b/>
                <w:bCs/>
              </w:rPr>
              <w:t xml:space="preserve">Contingency </w:t>
            </w:r>
            <w:r>
              <w:rPr>
                <w:b/>
                <w:bCs/>
              </w:rPr>
              <w:t>f</w:t>
            </w:r>
            <w:r w:rsidRPr="00D52406">
              <w:rPr>
                <w:b/>
                <w:bCs/>
              </w:rPr>
              <w:t>unds</w:t>
            </w:r>
          </w:p>
        </w:tc>
        <w:tc>
          <w:tcPr>
            <w:tcW w:w="3402" w:type="dxa"/>
            <w:vAlign w:val="center"/>
          </w:tcPr>
          <w:p w14:paraId="6F9E1C39" w14:textId="77777777" w:rsidR="00C80771" w:rsidRDefault="00C80771" w:rsidP="00BB40B3"/>
          <w:p w14:paraId="62E221E9" w14:textId="58DE05EA" w:rsidR="00810B28" w:rsidRDefault="00810B28" w:rsidP="00BB40B3">
            <w:r w:rsidRPr="00D52406">
              <w:t xml:space="preserve">Flexible funds for unexpected </w:t>
            </w:r>
            <w:r w:rsidR="00403723">
              <w:t>support</w:t>
            </w:r>
            <w:r w:rsidRPr="00D52406">
              <w:t xml:space="preserve"> (e.g. communication, sensory aids</w:t>
            </w:r>
            <w:r>
              <w:t>, additional support</w:t>
            </w:r>
            <w:r w:rsidRPr="00D52406">
              <w:t>)</w:t>
            </w:r>
          </w:p>
          <w:p w14:paraId="402FF422" w14:textId="5B3A88C7" w:rsidR="00C80771" w:rsidRPr="00D52406" w:rsidRDefault="00C80771" w:rsidP="00BB40B3"/>
        </w:tc>
        <w:tc>
          <w:tcPr>
            <w:tcW w:w="3209" w:type="dxa"/>
            <w:vAlign w:val="center"/>
          </w:tcPr>
          <w:p w14:paraId="0AB5A3AE" w14:textId="77777777" w:rsidR="00810B28" w:rsidRPr="00D52406" w:rsidRDefault="00810B28" w:rsidP="00BB40B3">
            <w:r w:rsidRPr="00D52406">
              <w:t>Helps respond to individual requirements as they arise</w:t>
            </w:r>
          </w:p>
        </w:tc>
      </w:tr>
      <w:tr w:rsidR="00810B28" w14:paraId="7E3F716A" w14:textId="77777777" w:rsidTr="00810B28">
        <w:tc>
          <w:tcPr>
            <w:tcW w:w="2405" w:type="dxa"/>
            <w:vAlign w:val="center"/>
          </w:tcPr>
          <w:p w14:paraId="5B5B1AAA" w14:textId="77777777" w:rsidR="00810B28" w:rsidRPr="00D52406" w:rsidRDefault="00810B28" w:rsidP="00BB40B3">
            <w:pPr>
              <w:rPr>
                <w:b/>
                <w:bCs/>
              </w:rPr>
            </w:pPr>
            <w:r w:rsidRPr="00D52406">
              <w:rPr>
                <w:b/>
                <w:bCs/>
              </w:rPr>
              <w:t xml:space="preserve">Recognition &amp; </w:t>
            </w:r>
            <w:r>
              <w:rPr>
                <w:b/>
                <w:bCs/>
              </w:rPr>
              <w:t>t</w:t>
            </w:r>
            <w:r w:rsidRPr="00D52406">
              <w:rPr>
                <w:b/>
                <w:bCs/>
              </w:rPr>
              <w:t xml:space="preserve">hank </w:t>
            </w:r>
            <w:r>
              <w:rPr>
                <w:b/>
                <w:bCs/>
              </w:rPr>
              <w:t>y</w:t>
            </w:r>
            <w:r w:rsidRPr="00D52406">
              <w:rPr>
                <w:b/>
                <w:bCs/>
              </w:rPr>
              <w:t>ou</w:t>
            </w:r>
          </w:p>
        </w:tc>
        <w:tc>
          <w:tcPr>
            <w:tcW w:w="3402" w:type="dxa"/>
            <w:vAlign w:val="center"/>
          </w:tcPr>
          <w:p w14:paraId="22D88CB2" w14:textId="77777777" w:rsidR="00C80771" w:rsidRDefault="00C80771" w:rsidP="00BB40B3"/>
          <w:p w14:paraId="0385BA46" w14:textId="77777777" w:rsidR="00810B28" w:rsidRDefault="00810B28" w:rsidP="00BB40B3">
            <w:r w:rsidRPr="00D52406">
              <w:t xml:space="preserve">Cards, </w:t>
            </w:r>
            <w:r>
              <w:t>small gifts</w:t>
            </w:r>
            <w:r w:rsidRPr="00D52406">
              <w:t xml:space="preserve">, or follow-up </w:t>
            </w:r>
            <w:r>
              <w:t>communication</w:t>
            </w:r>
          </w:p>
          <w:p w14:paraId="511AD721" w14:textId="26158693" w:rsidR="00C80771" w:rsidRPr="00D52406" w:rsidRDefault="00C80771" w:rsidP="00BB40B3"/>
        </w:tc>
        <w:tc>
          <w:tcPr>
            <w:tcW w:w="3209" w:type="dxa"/>
            <w:vAlign w:val="center"/>
          </w:tcPr>
          <w:p w14:paraId="0DBBF1FF" w14:textId="77777777" w:rsidR="00810B28" w:rsidRPr="00D52406" w:rsidRDefault="00810B28" w:rsidP="00BB40B3">
            <w:r w:rsidRPr="00D52406">
              <w:t>Shows appreciation and builds long-term relationships</w:t>
            </w:r>
          </w:p>
        </w:tc>
      </w:tr>
    </w:tbl>
    <w:p w14:paraId="3007BB86" w14:textId="77777777" w:rsidR="00F77486" w:rsidRDefault="00F77486"/>
    <w:p w14:paraId="36318835" w14:textId="77777777" w:rsidR="00FF70F0" w:rsidRDefault="00FF70F0"/>
    <w:p w14:paraId="77CDFD5E" w14:textId="77777777" w:rsidR="00FF70F0" w:rsidRPr="00FF70F0" w:rsidRDefault="00FF70F0" w:rsidP="00FF70F0">
      <w:pPr>
        <w:rPr>
          <w:b/>
          <w:bCs/>
        </w:rPr>
      </w:pPr>
      <w:r w:rsidRPr="00FF70F0">
        <w:rPr>
          <w:b/>
          <w:bCs/>
        </w:rPr>
        <w:t>Tips for Dementia inclusive budgeting</w:t>
      </w:r>
    </w:p>
    <w:p w14:paraId="347DEC2C" w14:textId="77777777" w:rsidR="00FF70F0" w:rsidRPr="00FF70F0" w:rsidRDefault="00FF70F0" w:rsidP="00FF70F0">
      <w:pPr>
        <w:numPr>
          <w:ilvl w:val="0"/>
          <w:numId w:val="2"/>
        </w:numPr>
      </w:pPr>
      <w:r w:rsidRPr="00FF70F0">
        <w:t>Plan early: Involve people with dementia in discussions about what support they require.</w:t>
      </w:r>
    </w:p>
    <w:p w14:paraId="5DDA128C" w14:textId="77777777" w:rsidR="00FF70F0" w:rsidRPr="00FF70F0" w:rsidRDefault="00FF70F0" w:rsidP="00FF70F0">
      <w:pPr>
        <w:numPr>
          <w:ilvl w:val="0"/>
          <w:numId w:val="2"/>
        </w:numPr>
      </w:pPr>
      <w:r w:rsidRPr="00FF70F0">
        <w:t>Budget for flexibility: Not everyone will need the same support and unexpected costs can arise.</w:t>
      </w:r>
    </w:p>
    <w:p w14:paraId="12067867" w14:textId="77777777" w:rsidR="00FF70F0" w:rsidRPr="00FF70F0" w:rsidRDefault="00FF70F0" w:rsidP="00FF70F0">
      <w:pPr>
        <w:numPr>
          <w:ilvl w:val="0"/>
          <w:numId w:val="2"/>
        </w:numPr>
      </w:pPr>
      <w:r w:rsidRPr="00FF70F0">
        <w:t xml:space="preserve">Follow NIHR guidance: See the </w:t>
      </w:r>
      <w:hyperlink r:id="rId7" w:history="1">
        <w:r w:rsidRPr="00FF70F0">
          <w:rPr>
            <w:rStyle w:val="Hyperlink"/>
          </w:rPr>
          <w:t>NIHR Payment Guidance for PPI</w:t>
        </w:r>
      </w:hyperlink>
      <w:r w:rsidRPr="00FF70F0">
        <w:t xml:space="preserve"> for fair recognition practices.</w:t>
      </w:r>
    </w:p>
    <w:p w14:paraId="1D45BE58" w14:textId="77777777" w:rsidR="00FF70F0" w:rsidRPr="00FF70F0" w:rsidRDefault="00FF70F0" w:rsidP="00FF70F0">
      <w:pPr>
        <w:numPr>
          <w:ilvl w:val="0"/>
          <w:numId w:val="2"/>
        </w:numPr>
      </w:pPr>
      <w:r w:rsidRPr="00FF70F0">
        <w:t>Check local policies: Partner universities or NHS Trusts may have additional requirements for reimbursements or carer support.</w:t>
      </w:r>
    </w:p>
    <w:p w14:paraId="1E456ECE" w14:textId="77777777" w:rsidR="00FF70F0" w:rsidRDefault="00FF70F0"/>
    <w:sectPr w:rsidR="00FF70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9FD4" w14:textId="77777777" w:rsidR="004E74E7" w:rsidRDefault="004E74E7" w:rsidP="00B5745C">
      <w:pPr>
        <w:spacing w:after="0" w:line="240" w:lineRule="auto"/>
      </w:pPr>
      <w:r>
        <w:separator/>
      </w:r>
    </w:p>
  </w:endnote>
  <w:endnote w:type="continuationSeparator" w:id="0">
    <w:p w14:paraId="3780DF32" w14:textId="77777777" w:rsidR="004E74E7" w:rsidRDefault="004E74E7" w:rsidP="00B5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B500" w14:textId="77777777" w:rsidR="009E18F0" w:rsidRDefault="009E1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D088" w14:textId="77777777" w:rsidR="009E18F0" w:rsidRDefault="009E1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F71" w14:textId="77777777" w:rsidR="009E18F0" w:rsidRDefault="009E1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91FA" w14:textId="77777777" w:rsidR="004E74E7" w:rsidRDefault="004E74E7" w:rsidP="00B5745C">
      <w:pPr>
        <w:spacing w:after="0" w:line="240" w:lineRule="auto"/>
      </w:pPr>
      <w:r>
        <w:separator/>
      </w:r>
    </w:p>
  </w:footnote>
  <w:footnote w:type="continuationSeparator" w:id="0">
    <w:p w14:paraId="03586A27" w14:textId="77777777" w:rsidR="004E74E7" w:rsidRDefault="004E74E7" w:rsidP="00B5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550B" w14:textId="77777777" w:rsidR="009E18F0" w:rsidRDefault="009E1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E55D" w14:textId="1980D0C4" w:rsidR="004C4541" w:rsidRPr="004C4541" w:rsidRDefault="009E18F0" w:rsidP="004C4541">
    <w:pPr>
      <w:pStyle w:val="Header"/>
    </w:pPr>
    <w:r w:rsidRPr="00022830">
      <w:rPr>
        <w:noProof/>
      </w:rPr>
      <w:drawing>
        <wp:anchor distT="0" distB="0" distL="114300" distR="114300" simplePos="0" relativeHeight="251659264" behindDoc="0" locked="0" layoutInCell="1" allowOverlap="1" wp14:anchorId="0E876E61" wp14:editId="684BCDB6">
          <wp:simplePos x="0" y="0"/>
          <wp:positionH relativeFrom="column">
            <wp:posOffset>-608239</wp:posOffset>
          </wp:positionH>
          <wp:positionV relativeFrom="paragraph">
            <wp:posOffset>-151130</wp:posOffset>
          </wp:positionV>
          <wp:extent cx="2533650" cy="403225"/>
          <wp:effectExtent l="0" t="0" r="0" b="0"/>
          <wp:wrapNone/>
          <wp:docPr id="521054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1742">
      <w:rPr>
        <w:noProof/>
      </w:rPr>
      <w:drawing>
        <wp:anchor distT="0" distB="0" distL="114300" distR="114300" simplePos="0" relativeHeight="251661312" behindDoc="0" locked="0" layoutInCell="1" allowOverlap="1" wp14:anchorId="489AFC78" wp14:editId="7DD5A78C">
          <wp:simplePos x="0" y="0"/>
          <wp:positionH relativeFrom="column">
            <wp:posOffset>4965065</wp:posOffset>
          </wp:positionH>
          <wp:positionV relativeFrom="paragraph">
            <wp:posOffset>-185964</wp:posOffset>
          </wp:positionV>
          <wp:extent cx="1316355" cy="459740"/>
          <wp:effectExtent l="0" t="0" r="0" b="0"/>
          <wp:wrapThrough wrapText="bothSides">
            <wp:wrapPolygon edited="0">
              <wp:start x="0" y="0"/>
              <wp:lineTo x="0" y="20586"/>
              <wp:lineTo x="21256" y="20586"/>
              <wp:lineTo x="21256" y="0"/>
              <wp:lineTo x="0" y="0"/>
            </wp:wrapPolygon>
          </wp:wrapThrough>
          <wp:docPr id="1410144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44689" name=""/>
                  <pic:cNvPicPr/>
                </pic:nvPicPr>
                <pic:blipFill>
                  <a:blip r:embed="rId2">
                    <a:extLst>
                      <a:ext uri="{28A0092B-C50C-407E-A947-70E740481C1C}">
                        <a14:useLocalDpi xmlns:a14="http://schemas.microsoft.com/office/drawing/2010/main" val="0"/>
                      </a:ext>
                    </a:extLst>
                  </a:blip>
                  <a:stretch>
                    <a:fillRect/>
                  </a:stretch>
                </pic:blipFill>
                <pic:spPr>
                  <a:xfrm>
                    <a:off x="0" y="0"/>
                    <a:ext cx="1316355" cy="459740"/>
                  </a:xfrm>
                  <a:prstGeom prst="rect">
                    <a:avLst/>
                  </a:prstGeom>
                </pic:spPr>
              </pic:pic>
            </a:graphicData>
          </a:graphic>
          <wp14:sizeRelH relativeFrom="margin">
            <wp14:pctWidth>0</wp14:pctWidth>
          </wp14:sizeRelH>
          <wp14:sizeRelV relativeFrom="margin">
            <wp14:pctHeight>0</wp14:pctHeight>
          </wp14:sizeRelV>
        </wp:anchor>
      </w:drawing>
    </w:r>
    <w:r w:rsidR="00B5745C">
      <w:ptab w:relativeTo="margin" w:alignment="center" w:leader="none"/>
    </w:r>
  </w:p>
  <w:p w14:paraId="3DE8646D" w14:textId="505CF54E" w:rsidR="00B5745C" w:rsidRDefault="00B57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93AB" w14:textId="77777777" w:rsidR="009E18F0" w:rsidRDefault="009E1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6670"/>
    <w:multiLevelType w:val="multilevel"/>
    <w:tmpl w:val="4606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36264"/>
    <w:multiLevelType w:val="multilevel"/>
    <w:tmpl w:val="9DDE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432073">
    <w:abstractNumId w:val="0"/>
  </w:num>
  <w:num w:numId="2" w16cid:durableId="78777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28"/>
    <w:rsid w:val="000E082F"/>
    <w:rsid w:val="00192D47"/>
    <w:rsid w:val="002B3CF6"/>
    <w:rsid w:val="00403723"/>
    <w:rsid w:val="004C4541"/>
    <w:rsid w:val="004E74E7"/>
    <w:rsid w:val="00626632"/>
    <w:rsid w:val="006E78CE"/>
    <w:rsid w:val="00701985"/>
    <w:rsid w:val="007E268B"/>
    <w:rsid w:val="00810B28"/>
    <w:rsid w:val="008B63C8"/>
    <w:rsid w:val="00941219"/>
    <w:rsid w:val="009C42D9"/>
    <w:rsid w:val="009E18F0"/>
    <w:rsid w:val="00B5745C"/>
    <w:rsid w:val="00B82810"/>
    <w:rsid w:val="00C80771"/>
    <w:rsid w:val="00D518DA"/>
    <w:rsid w:val="00D82131"/>
    <w:rsid w:val="00DB02ED"/>
    <w:rsid w:val="00F735F5"/>
    <w:rsid w:val="00F77486"/>
    <w:rsid w:val="00FF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7B59A"/>
  <w15:chartTrackingRefBased/>
  <w15:docId w15:val="{049E9346-B634-4C67-96A5-5BA20254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B28"/>
  </w:style>
  <w:style w:type="paragraph" w:styleId="Heading1">
    <w:name w:val="heading 1"/>
    <w:basedOn w:val="Normal"/>
    <w:next w:val="Normal"/>
    <w:link w:val="Heading1Char"/>
    <w:uiPriority w:val="9"/>
    <w:qFormat/>
    <w:rsid w:val="00810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0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0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B28"/>
    <w:rPr>
      <w:rFonts w:eastAsiaTheme="majorEastAsia" w:cstheme="majorBidi"/>
      <w:color w:val="272727" w:themeColor="text1" w:themeTint="D8"/>
    </w:rPr>
  </w:style>
  <w:style w:type="paragraph" w:styleId="Title">
    <w:name w:val="Title"/>
    <w:basedOn w:val="Normal"/>
    <w:next w:val="Normal"/>
    <w:link w:val="TitleChar"/>
    <w:uiPriority w:val="10"/>
    <w:qFormat/>
    <w:rsid w:val="00810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B28"/>
    <w:pPr>
      <w:spacing w:before="160"/>
      <w:jc w:val="center"/>
    </w:pPr>
    <w:rPr>
      <w:i/>
      <w:iCs/>
      <w:color w:val="404040" w:themeColor="text1" w:themeTint="BF"/>
    </w:rPr>
  </w:style>
  <w:style w:type="character" w:customStyle="1" w:styleId="QuoteChar">
    <w:name w:val="Quote Char"/>
    <w:basedOn w:val="DefaultParagraphFont"/>
    <w:link w:val="Quote"/>
    <w:uiPriority w:val="29"/>
    <w:rsid w:val="00810B28"/>
    <w:rPr>
      <w:i/>
      <w:iCs/>
      <w:color w:val="404040" w:themeColor="text1" w:themeTint="BF"/>
    </w:rPr>
  </w:style>
  <w:style w:type="paragraph" w:styleId="ListParagraph">
    <w:name w:val="List Paragraph"/>
    <w:basedOn w:val="Normal"/>
    <w:uiPriority w:val="34"/>
    <w:qFormat/>
    <w:rsid w:val="00810B28"/>
    <w:pPr>
      <w:ind w:left="720"/>
      <w:contextualSpacing/>
    </w:pPr>
  </w:style>
  <w:style w:type="character" w:styleId="IntenseEmphasis">
    <w:name w:val="Intense Emphasis"/>
    <w:basedOn w:val="DefaultParagraphFont"/>
    <w:uiPriority w:val="21"/>
    <w:qFormat/>
    <w:rsid w:val="00810B28"/>
    <w:rPr>
      <w:i/>
      <w:iCs/>
      <w:color w:val="0F4761" w:themeColor="accent1" w:themeShade="BF"/>
    </w:rPr>
  </w:style>
  <w:style w:type="paragraph" w:styleId="IntenseQuote">
    <w:name w:val="Intense Quote"/>
    <w:basedOn w:val="Normal"/>
    <w:next w:val="Normal"/>
    <w:link w:val="IntenseQuoteChar"/>
    <w:uiPriority w:val="30"/>
    <w:qFormat/>
    <w:rsid w:val="00810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B28"/>
    <w:rPr>
      <w:i/>
      <w:iCs/>
      <w:color w:val="0F4761" w:themeColor="accent1" w:themeShade="BF"/>
    </w:rPr>
  </w:style>
  <w:style w:type="character" w:styleId="IntenseReference">
    <w:name w:val="Intense Reference"/>
    <w:basedOn w:val="DefaultParagraphFont"/>
    <w:uiPriority w:val="32"/>
    <w:qFormat/>
    <w:rsid w:val="00810B28"/>
    <w:rPr>
      <w:b/>
      <w:bCs/>
      <w:smallCaps/>
      <w:color w:val="0F4761" w:themeColor="accent1" w:themeShade="BF"/>
      <w:spacing w:val="5"/>
    </w:rPr>
  </w:style>
  <w:style w:type="character" w:styleId="Hyperlink">
    <w:name w:val="Hyperlink"/>
    <w:basedOn w:val="DefaultParagraphFont"/>
    <w:uiPriority w:val="99"/>
    <w:unhideWhenUsed/>
    <w:rsid w:val="00810B28"/>
    <w:rPr>
      <w:color w:val="467886" w:themeColor="hyperlink"/>
      <w:u w:val="single"/>
    </w:rPr>
  </w:style>
  <w:style w:type="table" w:styleId="TableGrid">
    <w:name w:val="Table Grid"/>
    <w:basedOn w:val="TableNormal"/>
    <w:uiPriority w:val="39"/>
    <w:rsid w:val="0081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45C"/>
  </w:style>
  <w:style w:type="paragraph" w:styleId="Footer">
    <w:name w:val="footer"/>
    <w:basedOn w:val="Normal"/>
    <w:link w:val="FooterChar"/>
    <w:uiPriority w:val="99"/>
    <w:unhideWhenUsed/>
    <w:rsid w:val="00B57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45C"/>
  </w:style>
  <w:style w:type="paragraph" w:styleId="NormalWeb">
    <w:name w:val="Normal (Web)"/>
    <w:basedOn w:val="Normal"/>
    <w:uiPriority w:val="99"/>
    <w:semiHidden/>
    <w:unhideWhenUsed/>
    <w:rsid w:val="004C4541"/>
    <w:rPr>
      <w:rFonts w:ascii="Times New Roman" w:hAnsi="Times New Roman" w:cs="Times New Roman"/>
    </w:rPr>
  </w:style>
  <w:style w:type="character" w:styleId="UnresolvedMention">
    <w:name w:val="Unresolved Mention"/>
    <w:basedOn w:val="DefaultParagraphFont"/>
    <w:uiPriority w:val="99"/>
    <w:semiHidden/>
    <w:unhideWhenUsed/>
    <w:rsid w:val="00FF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ihr.ac.uk/documents/payment-guidance-for-researchers-and-professionals/273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430</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Budgeting for involvement</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Naomi</dc:creator>
  <cp:keywords/>
  <dc:description/>
  <cp:lastModifiedBy>Morley, Naomi</cp:lastModifiedBy>
  <cp:revision>14</cp:revision>
  <dcterms:created xsi:type="dcterms:W3CDTF">2025-09-23T06:50:00Z</dcterms:created>
  <dcterms:modified xsi:type="dcterms:W3CDTF">2026-03-30T14:39:00Z</dcterms:modified>
</cp:coreProperties>
</file>